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22BD5814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0F636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215A7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63037600" w14:textId="09D176A3" w:rsidR="002D49D2" w:rsidRDefault="002D49D2" w:rsidP="00CE4B94">
      <w:pPr>
        <w:pStyle w:val="Rubrik2"/>
        <w:rPr>
          <w:rFonts w:eastAsia="Times New Roman" w:cs="Times New Roman"/>
          <w:b/>
          <w:color w:val="auto"/>
          <w:sz w:val="36"/>
          <w:szCs w:val="20"/>
          <w:lang w:val="sv-SE"/>
        </w:rPr>
      </w:pPr>
      <w:r w:rsidRPr="002D49D2">
        <w:rPr>
          <w:rFonts w:eastAsia="Times New Roman" w:cs="Times New Roman"/>
          <w:b/>
          <w:color w:val="auto"/>
          <w:sz w:val="36"/>
          <w:szCs w:val="20"/>
          <w:lang w:val="sv-SE"/>
        </w:rPr>
        <w:t>Kurslitteratur för (ABMM06)</w:t>
      </w:r>
      <w:r>
        <w:rPr>
          <w:rFonts w:eastAsia="Times New Roman" w:cs="Times New Roman"/>
          <w:b/>
          <w:color w:val="auto"/>
          <w:sz w:val="36"/>
          <w:szCs w:val="20"/>
          <w:lang w:val="sv-SE"/>
        </w:rPr>
        <w:t xml:space="preserve"> </w:t>
      </w:r>
      <w:r w:rsidRPr="002D49D2">
        <w:rPr>
          <w:rFonts w:eastAsia="Times New Roman" w:cs="Times New Roman"/>
          <w:b/>
          <w:color w:val="auto"/>
          <w:sz w:val="36"/>
          <w:szCs w:val="20"/>
          <w:lang w:val="sv-SE"/>
        </w:rPr>
        <w:t>ABM: Forskningsmetodik, 7,5 högskolepoäng</w:t>
      </w:r>
      <w:r>
        <w:rPr>
          <w:rFonts w:eastAsia="Times New Roman" w:cs="Times New Roman"/>
          <w:b/>
          <w:color w:val="auto"/>
          <w:sz w:val="36"/>
          <w:szCs w:val="20"/>
          <w:lang w:val="sv-SE"/>
        </w:rPr>
        <w:t xml:space="preserve">, </w:t>
      </w:r>
      <w:r w:rsidR="000215A7">
        <w:rPr>
          <w:rFonts w:eastAsia="Times New Roman" w:cs="Times New Roman"/>
          <w:b/>
          <w:color w:val="auto"/>
          <w:sz w:val="36"/>
          <w:szCs w:val="20"/>
          <w:lang w:val="sv-SE"/>
        </w:rPr>
        <w:t>HT 202</w:t>
      </w:r>
      <w:r w:rsidR="00566212">
        <w:rPr>
          <w:rFonts w:eastAsia="Times New Roman" w:cs="Times New Roman"/>
          <w:b/>
          <w:color w:val="auto"/>
          <w:sz w:val="36"/>
          <w:szCs w:val="20"/>
          <w:lang w:val="sv-SE"/>
        </w:rPr>
        <w:t>4</w:t>
      </w:r>
    </w:p>
    <w:p w14:paraId="30503D56" w14:textId="77777777" w:rsidR="002D49D2" w:rsidRDefault="002D49D2" w:rsidP="00CE4B94">
      <w:pPr>
        <w:pStyle w:val="Rubrik2"/>
        <w:rPr>
          <w:rFonts w:eastAsia="Times New Roman" w:cs="Times New Roman"/>
          <w:b/>
          <w:color w:val="auto"/>
          <w:sz w:val="36"/>
          <w:szCs w:val="20"/>
          <w:lang w:val="sv-SE"/>
        </w:rPr>
      </w:pPr>
    </w:p>
    <w:p w14:paraId="1258690B" w14:textId="19F2DC54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</w:t>
      </w:r>
      <w:r w:rsidR="000215A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2023-06-05</w:t>
      </w:r>
      <w:r w:rsidR="004C01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06E6E94E" w14:textId="08EAA187" w:rsidR="00836107" w:rsidRPr="004C012F" w:rsidRDefault="004C012F" w:rsidP="00CA3BA7">
      <w:pPr>
        <w:pStyle w:val="Brdtext"/>
        <w:rPr>
          <w:b/>
          <w:bCs/>
          <w:lang w:val="sv-SE"/>
        </w:rPr>
      </w:pPr>
      <w:r w:rsidRPr="004C012F">
        <w:rPr>
          <w:b/>
          <w:bCs/>
          <w:lang w:val="sv-SE"/>
        </w:rPr>
        <w:t>Obligatorisk litteratur</w:t>
      </w:r>
    </w:p>
    <w:p w14:paraId="1AC9E6E9" w14:textId="4EAC357C" w:rsidR="00836107" w:rsidRDefault="00836107" w:rsidP="00CA3BA7">
      <w:pPr>
        <w:pStyle w:val="Brdtext"/>
        <w:rPr>
          <w:lang w:val="sv-SE"/>
        </w:rPr>
      </w:pPr>
    </w:p>
    <w:p w14:paraId="79BDA1D8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 xml:space="preserve">Ahrne, Göran &amp; Svensson, Peter. (2022). </w:t>
      </w:r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Handbok i kvalitativa metoder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. ISBN: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9789147140077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(Upplaga 3). Stockholm: Liber. (s.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7-78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>, 105-138,153-199, 231-272)</w:t>
      </w:r>
    </w:p>
    <w:p w14:paraId="7AF6D4ED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6A5372DE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 xml:space="preserve">Barmark, Mimmi. &amp;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Djurfeldt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, Göran. (2020). </w:t>
      </w:r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Statistisk verktygslåda 0: att förstå och förändra världen med siffror.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 (Andra upplagan). Lund: Studentlitteratur. ISBN: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9789144140902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(189 sidor)</w:t>
      </w:r>
    </w:p>
    <w:p w14:paraId="1E6AA8B6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7CD6FD78" w14:textId="77777777" w:rsidR="00AB1490" w:rsidRPr="00AB1490" w:rsidRDefault="00AB1490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Franzke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, A. S., Bechmann, A.,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Zimmer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, M., Ess, C., &amp; Association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of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Internet Researchers. (2019). </w:t>
      </w:r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 xml:space="preserve">Internet Research: </w:t>
      </w:r>
      <w:proofErr w:type="spellStart"/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Ethical</w:t>
      </w:r>
      <w:proofErr w:type="spellEnd"/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 xml:space="preserve"> </w:t>
      </w:r>
      <w:proofErr w:type="spellStart"/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Guidelines</w:t>
      </w:r>
      <w:proofErr w:type="spellEnd"/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 xml:space="preserve"> 3.0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. Association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of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Internet Researchers. (s.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1-23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>)</w:t>
      </w:r>
    </w:p>
    <w:p w14:paraId="5EC6DD01" w14:textId="77777777" w:rsidR="00AB1490" w:rsidRPr="00AB1490" w:rsidRDefault="00AB1490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</w:p>
    <w:p w14:paraId="7A84A849" w14:textId="6D2B6FD9" w:rsidR="00AB1490" w:rsidRPr="00AB1490" w:rsidRDefault="00AB1490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 xml:space="preserve">Hughes Tidlund, Ida &amp; Von Unge, Elin (2022). ”Etik och kvalitativa metoder”. Ingår i: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Silow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Kallenberg, K.,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Silow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Kallenberg, K., Nystrand von Unge, E. &amp; Wiklund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Moreira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, L. (2022). </w:t>
      </w:r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Etnologiskt fältarbete: nya fält och former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. (Upplaga 1). Lund: Studentlitteratur. ISBN: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9789144153261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(s. 47-68). </w:t>
      </w:r>
    </w:p>
    <w:p w14:paraId="533D9BA4" w14:textId="77777777" w:rsidR="00566212" w:rsidRDefault="00566212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7837FF25" w14:textId="366EC9B9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 xml:space="preserve">Gunnarsson, Jenny &amp; Öhlander, Magnus (2022). ”Forskningsfrågor-från </w:t>
      </w:r>
      <w:r w:rsidRPr="00AB1490">
        <w:rPr>
          <w:rFonts w:ascii="Cambria" w:eastAsia="MS Mincho" w:hAnsi="Cambria"/>
          <w:sz w:val="24"/>
          <w:szCs w:val="24"/>
          <w:lang w:val="sv-SE"/>
        </w:rPr>
        <w:lastRenderedPageBreak/>
        <w:t xml:space="preserve">kunskapsmål till verktyg”. Ingår i: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Silow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Kallenberg, K.,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Silow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 Kallenberg, K., Nystrand von Unge, E. &amp; Wiklund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Moreira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, L. (2022). </w:t>
      </w:r>
      <w:r w:rsidRPr="00AB1490">
        <w:rPr>
          <w:rFonts w:ascii="Cambria" w:eastAsia="MS Mincho" w:hAnsi="Cambria"/>
          <w:i/>
          <w:iCs/>
          <w:sz w:val="24"/>
          <w:szCs w:val="24"/>
          <w:lang w:val="sv-SE"/>
        </w:rPr>
        <w:t>Etnologiskt fältarbete: nya fält och former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. (Upplaga 1). Lund: Studentlitteratur. (s.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23-46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>)</w:t>
      </w:r>
    </w:p>
    <w:p w14:paraId="17441ED6" w14:textId="77777777" w:rsidR="00AB1490" w:rsidRPr="00AB1490" w:rsidRDefault="00AB1490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</w:p>
    <w:p w14:paraId="2B5FBCE7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</w:rPr>
        <w:t xml:space="preserve">Rogers, Richard. (2019). </w:t>
      </w:r>
      <w:r w:rsidRPr="00AB1490">
        <w:rPr>
          <w:rFonts w:ascii="Cambria" w:eastAsia="MS Mincho" w:hAnsi="Cambria"/>
          <w:i/>
          <w:iCs/>
          <w:sz w:val="24"/>
          <w:szCs w:val="24"/>
        </w:rPr>
        <w:t>Doing digital methods</w:t>
      </w:r>
      <w:r w:rsidRPr="00AB1490">
        <w:rPr>
          <w:rFonts w:ascii="Cambria" w:eastAsia="MS Mincho" w:hAnsi="Cambria"/>
          <w:sz w:val="24"/>
          <w:szCs w:val="24"/>
        </w:rPr>
        <w:t xml:space="preserve">. 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London: </w:t>
      </w:r>
      <w:proofErr w:type="spellStart"/>
      <w:r w:rsidRPr="00AB1490">
        <w:rPr>
          <w:rFonts w:ascii="Cambria" w:eastAsia="MS Mincho" w:hAnsi="Cambria"/>
          <w:sz w:val="24"/>
          <w:szCs w:val="24"/>
          <w:lang w:val="sv-SE"/>
        </w:rPr>
        <w:t>Sage</w:t>
      </w:r>
      <w:proofErr w:type="spell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. ISBN: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9781526487995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 xml:space="preserve">. (s. </w:t>
      </w:r>
      <w:proofErr w:type="gramStart"/>
      <w:r w:rsidRPr="00AB1490">
        <w:rPr>
          <w:rFonts w:ascii="Cambria" w:eastAsia="MS Mincho" w:hAnsi="Cambria"/>
          <w:sz w:val="24"/>
          <w:szCs w:val="24"/>
          <w:lang w:val="sv-SE"/>
        </w:rPr>
        <w:t>1-153</w:t>
      </w:r>
      <w:proofErr w:type="gramEnd"/>
      <w:r w:rsidRPr="00AB1490">
        <w:rPr>
          <w:rFonts w:ascii="Cambria" w:eastAsia="MS Mincho" w:hAnsi="Cambria"/>
          <w:sz w:val="24"/>
          <w:szCs w:val="24"/>
          <w:lang w:val="sv-SE"/>
        </w:rPr>
        <w:t>)</w:t>
      </w:r>
    </w:p>
    <w:p w14:paraId="12DEB67F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050BF20B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3651438C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>Summa 609 s. Därtill ska de studerande, utifrån vald ämnesinriktning, självständigt eller i dialog med kursansvarig söka ytterligare litteratur om ca 500 s.</w:t>
      </w:r>
    </w:p>
    <w:p w14:paraId="66992A7F" w14:textId="77777777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</w:p>
    <w:p w14:paraId="1D0045C5" w14:textId="4F7386B8" w:rsidR="00AB1490" w:rsidRPr="00AB1490" w:rsidRDefault="00AB1490" w:rsidP="00AB1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66"/>
        <w:rPr>
          <w:rFonts w:ascii="Cambria" w:eastAsia="MS Mincho" w:hAnsi="Cambria"/>
          <w:sz w:val="24"/>
          <w:szCs w:val="24"/>
          <w:lang w:val="sv-SE"/>
        </w:rPr>
      </w:pPr>
      <w:r w:rsidRPr="00AB1490">
        <w:rPr>
          <w:rFonts w:ascii="Cambria" w:eastAsia="MS Mincho" w:hAnsi="Cambria"/>
          <w:sz w:val="24"/>
          <w:szCs w:val="24"/>
          <w:lang w:val="sv-SE"/>
        </w:rPr>
        <w:t>Totalt</w:t>
      </w:r>
      <w:r>
        <w:rPr>
          <w:rFonts w:ascii="Cambria" w:eastAsia="MS Mincho" w:hAnsi="Cambria"/>
          <w:sz w:val="24"/>
          <w:szCs w:val="24"/>
          <w:lang w:val="sv-SE"/>
        </w:rPr>
        <w:t>: ca.</w:t>
      </w:r>
      <w:r w:rsidRPr="00AB1490">
        <w:rPr>
          <w:rFonts w:ascii="Cambria" w:eastAsia="MS Mincho" w:hAnsi="Cambria"/>
          <w:sz w:val="24"/>
          <w:szCs w:val="24"/>
          <w:lang w:val="sv-SE"/>
        </w:rPr>
        <w:t xml:space="preserve"> 1100</w:t>
      </w:r>
      <w:r>
        <w:rPr>
          <w:rFonts w:ascii="Cambria" w:eastAsia="MS Mincho" w:hAnsi="Cambria"/>
          <w:sz w:val="24"/>
          <w:szCs w:val="24"/>
          <w:lang w:val="sv-SE"/>
        </w:rPr>
        <w:t xml:space="preserve"> sidor.</w:t>
      </w:r>
    </w:p>
    <w:p w14:paraId="2E81652B" w14:textId="77777777" w:rsidR="00AB1490" w:rsidRDefault="00AB1490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</w:p>
    <w:p w14:paraId="333F20B2" w14:textId="77777777" w:rsidR="00AB5A27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b/>
          <w:bCs/>
          <w:lang w:val="sv-SE"/>
        </w:rPr>
      </w:pPr>
    </w:p>
    <w:p w14:paraId="71ED0A4E" w14:textId="3806BAC6" w:rsidR="00AB5A27" w:rsidRPr="00AB5A27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b/>
          <w:bCs/>
          <w:lang w:val="sv-SE"/>
        </w:rPr>
      </w:pPr>
      <w:r w:rsidRPr="00AB5A27">
        <w:rPr>
          <w:b/>
          <w:bCs/>
          <w:lang w:val="sv-SE"/>
        </w:rPr>
        <w:t>Valbar litteratur</w:t>
      </w:r>
    </w:p>
    <w:p w14:paraId="2DB14294" w14:textId="77777777" w:rsidR="00AB5A27" w:rsidRPr="00AB5A27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lang w:val="sv-SE"/>
        </w:rPr>
      </w:pPr>
    </w:p>
    <w:p w14:paraId="04540581" w14:textId="77777777" w:rsidR="00AB5A27" w:rsidRPr="00ED3404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  <w:r w:rsidRPr="00AB5A27">
        <w:rPr>
          <w:lang w:val="sv-SE"/>
        </w:rPr>
        <w:t xml:space="preserve">Alvesson, Mats. &amp; Sköldberg, Kaj. (2017). </w:t>
      </w:r>
      <w:r w:rsidRPr="00AB5A27">
        <w:rPr>
          <w:i/>
          <w:iCs/>
          <w:lang w:val="sv-SE"/>
        </w:rPr>
        <w:t>Tolkning och reflektion: vetenskapsfilosofi och kvalitativ metod.</w:t>
      </w:r>
      <w:r w:rsidRPr="00AB5A27">
        <w:rPr>
          <w:lang w:val="sv-SE"/>
        </w:rPr>
        <w:t xml:space="preserve"> </w:t>
      </w:r>
      <w:r w:rsidRPr="00ED3404">
        <w:t>(</w:t>
      </w:r>
      <w:proofErr w:type="spellStart"/>
      <w:r w:rsidRPr="00ED3404">
        <w:t>Tredje</w:t>
      </w:r>
      <w:proofErr w:type="spellEnd"/>
      <w:r w:rsidRPr="00ED3404">
        <w:t xml:space="preserve"> </w:t>
      </w:r>
      <w:proofErr w:type="spellStart"/>
      <w:r w:rsidRPr="00ED3404">
        <w:t>upplagan</w:t>
      </w:r>
      <w:proofErr w:type="spellEnd"/>
      <w:r w:rsidRPr="00ED3404">
        <w:t xml:space="preserve">). Lund: Studentlitteratur. </w:t>
      </w:r>
    </w:p>
    <w:p w14:paraId="2663E242" w14:textId="77777777" w:rsidR="00AB5A27" w:rsidRPr="00ED3404" w:rsidRDefault="00AB5A27" w:rsidP="00AB5A27">
      <w:pPr>
        <w:rPr>
          <w:b/>
          <w:bCs/>
        </w:rPr>
      </w:pPr>
    </w:p>
    <w:p w14:paraId="60EBC0E3" w14:textId="77777777" w:rsidR="00AB5A27" w:rsidRPr="00466B99" w:rsidRDefault="00AB5A27" w:rsidP="00AB5A27">
      <w:pPr>
        <w:rPr>
          <w:sz w:val="23"/>
          <w:szCs w:val="23"/>
        </w:rPr>
      </w:pPr>
      <w:r w:rsidRPr="007B60B2">
        <w:rPr>
          <w:sz w:val="23"/>
          <w:szCs w:val="23"/>
        </w:rPr>
        <w:t xml:space="preserve">Braun, V. &amp; Clarke, V. (2006). </w:t>
      </w:r>
      <w:r w:rsidRPr="007B60B2">
        <w:rPr>
          <w:i/>
          <w:iCs/>
          <w:sz w:val="23"/>
          <w:szCs w:val="23"/>
        </w:rPr>
        <w:t>Using thematic analysis in psychology</w:t>
      </w:r>
      <w:r w:rsidRPr="007B60B2">
        <w:rPr>
          <w:sz w:val="23"/>
          <w:szCs w:val="23"/>
        </w:rPr>
        <w:t xml:space="preserve">. </w:t>
      </w:r>
      <w:r w:rsidRPr="00466B99">
        <w:rPr>
          <w:sz w:val="23"/>
          <w:szCs w:val="23"/>
        </w:rPr>
        <w:t>Qualitative Research in Psychology, 3(2), ss. 77-101. doi:10.1191/1478088706qp063oa.</w:t>
      </w:r>
    </w:p>
    <w:p w14:paraId="4F53A62C" w14:textId="77777777" w:rsidR="00AB5A27" w:rsidRPr="00ED3404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</w:p>
    <w:p w14:paraId="571ABA6D" w14:textId="77777777" w:rsidR="00AB5A27" w:rsidRPr="00ED3404" w:rsidRDefault="00AB5A27" w:rsidP="00AB5A27">
      <w:r w:rsidRPr="00AB5A27">
        <w:rPr>
          <w:lang w:val="sv-SE"/>
        </w:rPr>
        <w:t xml:space="preserve">Berggren, C., &amp; </w:t>
      </w:r>
      <w:proofErr w:type="spellStart"/>
      <w:r w:rsidRPr="00AB5A27">
        <w:rPr>
          <w:lang w:val="sv-SE"/>
        </w:rPr>
        <w:t>Skansholm</w:t>
      </w:r>
      <w:proofErr w:type="spellEnd"/>
      <w:r w:rsidRPr="00AB5A27">
        <w:rPr>
          <w:lang w:val="sv-SE"/>
        </w:rPr>
        <w:t xml:space="preserve">, A. (2022). </w:t>
      </w:r>
      <w:r w:rsidRPr="00AB5A27">
        <w:rPr>
          <w:i/>
          <w:iCs/>
          <w:lang w:val="sv-SE"/>
        </w:rPr>
        <w:t xml:space="preserve">Kvantitativ </w:t>
      </w:r>
      <w:proofErr w:type="gramStart"/>
      <w:r w:rsidRPr="00AB5A27">
        <w:rPr>
          <w:i/>
          <w:iCs/>
          <w:lang w:val="sv-SE"/>
        </w:rPr>
        <w:t>metod :</w:t>
      </w:r>
      <w:proofErr w:type="gramEnd"/>
      <w:r w:rsidRPr="00AB5A27">
        <w:rPr>
          <w:i/>
          <w:iCs/>
          <w:lang w:val="sv-SE"/>
        </w:rPr>
        <w:t xml:space="preserve"> en uppsatshandbok för utbildningsvetenskap</w:t>
      </w:r>
      <w:r w:rsidRPr="00AB5A27">
        <w:rPr>
          <w:lang w:val="sv-SE"/>
        </w:rPr>
        <w:t xml:space="preserve"> (Upplaga 1). </w:t>
      </w:r>
      <w:r w:rsidRPr="00ED3404">
        <w:t>Studentlitteratur.</w:t>
      </w:r>
    </w:p>
    <w:p w14:paraId="376EDCA3" w14:textId="77777777" w:rsidR="00AB5A27" w:rsidRPr="00ED3404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</w:p>
    <w:p w14:paraId="3313286A" w14:textId="77777777" w:rsidR="00AB5A27" w:rsidRPr="00566212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  <w:r w:rsidRPr="003D5EEF">
        <w:t xml:space="preserve">Charmaz, K. (2006). </w:t>
      </w:r>
      <w:r w:rsidRPr="00ED3404">
        <w:rPr>
          <w:i/>
          <w:iCs/>
        </w:rPr>
        <w:t>Constructing grounded theory</w:t>
      </w:r>
      <w:r>
        <w:rPr>
          <w:i/>
          <w:iCs/>
        </w:rPr>
        <w:t xml:space="preserve">: </w:t>
      </w:r>
      <w:r w:rsidRPr="00ED3404">
        <w:rPr>
          <w:i/>
          <w:iCs/>
        </w:rPr>
        <w:t>a practical guide through qualitative analysis</w:t>
      </w:r>
      <w:r w:rsidRPr="003D5EEF">
        <w:t xml:space="preserve">. </w:t>
      </w:r>
      <w:r w:rsidRPr="00566212">
        <w:t>SAGE.</w:t>
      </w:r>
    </w:p>
    <w:p w14:paraId="18143432" w14:textId="77777777" w:rsidR="00AB5A27" w:rsidRPr="00ED3404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lang w:eastAsia="en-US"/>
          <w14:ligatures w14:val="standardContextual"/>
        </w:rPr>
      </w:pPr>
    </w:p>
    <w:p w14:paraId="5A233076" w14:textId="77777777" w:rsidR="00AB5A27" w:rsidRPr="00ED3404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  <w:r w:rsidRPr="001C352F">
        <w:t>Gibbs, G</w:t>
      </w:r>
      <w:r>
        <w:t>raham</w:t>
      </w:r>
      <w:r w:rsidRPr="001C352F">
        <w:t>., &amp; Flick, U</w:t>
      </w:r>
      <w:r>
        <w:t>we</w:t>
      </w:r>
      <w:r w:rsidRPr="001C352F">
        <w:t xml:space="preserve">. (2018). </w:t>
      </w:r>
      <w:proofErr w:type="spellStart"/>
      <w:r w:rsidRPr="0077409E">
        <w:rPr>
          <w:i/>
          <w:iCs/>
        </w:rPr>
        <w:t>Analyzing</w:t>
      </w:r>
      <w:proofErr w:type="spellEnd"/>
      <w:r w:rsidRPr="0077409E">
        <w:rPr>
          <w:i/>
          <w:iCs/>
        </w:rPr>
        <w:t xml:space="preserve"> qualitative data</w:t>
      </w:r>
      <w:r w:rsidRPr="001C352F">
        <w:t xml:space="preserve"> (Second edition.). </w:t>
      </w:r>
      <w:r w:rsidRPr="00ED3404">
        <w:t>SAGE.</w:t>
      </w:r>
    </w:p>
    <w:p w14:paraId="130717F4" w14:textId="77777777" w:rsidR="00AB5A27" w:rsidRDefault="00AB5A27" w:rsidP="00AB5A27">
      <w:pPr>
        <w:rPr>
          <w:lang w:val="en-US"/>
        </w:rPr>
      </w:pPr>
    </w:p>
    <w:p w14:paraId="122EB380" w14:textId="77777777" w:rsidR="00AB5A27" w:rsidRDefault="00AB5A27" w:rsidP="00AB5A27">
      <w:r w:rsidRPr="006A4DB2">
        <w:t xml:space="preserve">Hine, </w:t>
      </w:r>
      <w:r w:rsidRPr="00E95DFB">
        <w:t>Christine</w:t>
      </w:r>
      <w:r w:rsidRPr="006A4DB2">
        <w:t xml:space="preserve">. (2017). </w:t>
      </w:r>
      <w:r>
        <w:rPr>
          <w:lang w:val="en-US"/>
        </w:rPr>
        <w:t xml:space="preserve">Ethnographies of Online Communities and Social Media: Modes, Varieties, Affordances. In N. G. Fielding, R. M. Lee, &amp; G. Blank, </w:t>
      </w:r>
      <w:r w:rsidRPr="0077409E">
        <w:rPr>
          <w:i/>
          <w:iCs/>
          <w:lang w:val="en-US"/>
        </w:rPr>
        <w:t>The SAGE Handbook of Online Research Methods</w:t>
      </w:r>
      <w:r>
        <w:rPr>
          <w:lang w:val="en-US"/>
        </w:rPr>
        <w:t xml:space="preserve"> (pp. 401–413). </w:t>
      </w:r>
      <w:r w:rsidRPr="00354899">
        <w:t xml:space="preserve">SAGE Publications Ltd. </w:t>
      </w:r>
      <w:hyperlink r:id="rId14" w:history="1">
        <w:r w:rsidRPr="00354899">
          <w:rPr>
            <w:rStyle w:val="Hyperlnk"/>
          </w:rPr>
          <w:t>https://doi.org/10.4135/9781473957992.n23</w:t>
        </w:r>
      </w:hyperlink>
      <w:r w:rsidRPr="00354899">
        <w:t xml:space="preserve"> </w:t>
      </w:r>
      <w:r>
        <w:t xml:space="preserve"> (</w:t>
      </w:r>
      <w:r w:rsidRPr="009B0C00">
        <w:t xml:space="preserve">13 </w:t>
      </w:r>
      <w:proofErr w:type="spellStart"/>
      <w:r w:rsidRPr="009B0C00">
        <w:t>sidor</w:t>
      </w:r>
      <w:proofErr w:type="spellEnd"/>
      <w:r>
        <w:t>)</w:t>
      </w:r>
    </w:p>
    <w:p w14:paraId="24A8F065" w14:textId="77777777" w:rsidR="00AB5A27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</w:p>
    <w:p w14:paraId="001B23B1" w14:textId="77777777" w:rsidR="00AB5A27" w:rsidRPr="00566212" w:rsidRDefault="00AB5A27" w:rsidP="00AB5A27">
      <w:pPr>
        <w:rPr>
          <w:lang w:val="sv-SE"/>
        </w:rPr>
      </w:pPr>
      <w:r w:rsidRPr="00466B99">
        <w:t>Hine, C</w:t>
      </w:r>
      <w:r>
        <w:t>hristine</w:t>
      </w:r>
      <w:r w:rsidRPr="00466B99">
        <w:t>. (2015</w:t>
      </w:r>
      <w:r w:rsidRPr="0077409E">
        <w:rPr>
          <w:i/>
          <w:iCs/>
        </w:rPr>
        <w:t xml:space="preserve">). </w:t>
      </w:r>
      <w:r w:rsidRPr="0077409E">
        <w:rPr>
          <w:i/>
          <w:iCs/>
          <w:lang w:val="en-US"/>
        </w:rPr>
        <w:t xml:space="preserve">Ethnography for the Internet: embedded, </w:t>
      </w:r>
      <w:proofErr w:type="gramStart"/>
      <w:r w:rsidRPr="0077409E">
        <w:rPr>
          <w:i/>
          <w:iCs/>
          <w:lang w:val="en-US"/>
        </w:rPr>
        <w:t>embodied</w:t>
      </w:r>
      <w:proofErr w:type="gramEnd"/>
      <w:r w:rsidRPr="0077409E">
        <w:rPr>
          <w:i/>
          <w:iCs/>
          <w:lang w:val="en-US"/>
        </w:rPr>
        <w:t xml:space="preserve"> and </w:t>
      </w:r>
      <w:proofErr w:type="spellStart"/>
      <w:r w:rsidRPr="0077409E">
        <w:rPr>
          <w:i/>
          <w:iCs/>
          <w:lang w:val="en-US"/>
        </w:rPr>
        <w:t>everyday</w:t>
      </w:r>
      <w:proofErr w:type="spellEnd"/>
      <w:r w:rsidRPr="0077409E"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 w:rsidRPr="00566212">
        <w:rPr>
          <w:lang w:val="sv-SE"/>
        </w:rPr>
        <w:t xml:space="preserve">London: </w:t>
      </w:r>
      <w:proofErr w:type="spellStart"/>
      <w:r w:rsidRPr="00566212">
        <w:rPr>
          <w:lang w:val="sv-SE"/>
        </w:rPr>
        <w:t>Bloomsbury</w:t>
      </w:r>
      <w:proofErr w:type="spellEnd"/>
      <w:r w:rsidRPr="00566212">
        <w:rPr>
          <w:lang w:val="sv-SE"/>
        </w:rPr>
        <w:t xml:space="preserve"> </w:t>
      </w:r>
      <w:proofErr w:type="spellStart"/>
      <w:r w:rsidRPr="00566212">
        <w:rPr>
          <w:lang w:val="sv-SE"/>
        </w:rPr>
        <w:t>Academic</w:t>
      </w:r>
      <w:proofErr w:type="spellEnd"/>
      <w:r w:rsidRPr="00566212">
        <w:rPr>
          <w:lang w:val="sv-SE"/>
        </w:rPr>
        <w:t xml:space="preserve">. </w:t>
      </w:r>
    </w:p>
    <w:p w14:paraId="2C34FE57" w14:textId="77777777" w:rsidR="00AB5A27" w:rsidRPr="00566212" w:rsidRDefault="00AB5A27" w:rsidP="00AB5A27">
      <w:pPr>
        <w:rPr>
          <w:lang w:val="sv-SE"/>
        </w:rPr>
      </w:pPr>
    </w:p>
    <w:p w14:paraId="080E1C90" w14:textId="77777777" w:rsidR="00AB5A27" w:rsidRPr="00AB5A27" w:rsidRDefault="00AB5A27" w:rsidP="00AB5A27">
      <w:pPr>
        <w:rPr>
          <w:lang w:val="sv-SE"/>
        </w:rPr>
      </w:pPr>
      <w:r w:rsidRPr="00AB5A27">
        <w:rPr>
          <w:lang w:val="sv-SE" w:eastAsia="en-US"/>
          <w14:ligatures w14:val="standardContextual"/>
        </w:rPr>
        <w:t xml:space="preserve">Jarlbrink, Johan &amp; Norén, Fredrik. (2021). </w:t>
      </w:r>
      <w:r w:rsidRPr="00AB5A27">
        <w:rPr>
          <w:i/>
          <w:iCs/>
          <w:lang w:val="sv-SE" w:eastAsia="en-US"/>
          <w14:ligatures w14:val="standardContextual"/>
        </w:rPr>
        <w:t>Digitala metoder i humaniora och samhällsvetenskap</w:t>
      </w:r>
      <w:r w:rsidRPr="00AB5A27">
        <w:rPr>
          <w:lang w:val="sv-SE" w:eastAsia="en-US"/>
          <w14:ligatures w14:val="standardContextual"/>
        </w:rPr>
        <w:t>. (Upplaga 1). Lund: Studentlitteratur.</w:t>
      </w:r>
    </w:p>
    <w:p w14:paraId="206A70B8" w14:textId="77777777" w:rsidR="00AB5A27" w:rsidRPr="00AB5A27" w:rsidRDefault="00AB5A27" w:rsidP="00AB5A27">
      <w:pPr>
        <w:rPr>
          <w:lang w:val="sv-SE"/>
        </w:rPr>
      </w:pPr>
    </w:p>
    <w:p w14:paraId="2E73035C" w14:textId="77777777" w:rsidR="00AB5A27" w:rsidRPr="001066F5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</w:pPr>
      <w:r w:rsidRPr="00AB5A27">
        <w:rPr>
          <w:lang w:val="sv-SE"/>
        </w:rPr>
        <w:t xml:space="preserve">Rennstam, Jens. &amp; Wästerfors, David. (2015). </w:t>
      </w:r>
      <w:r w:rsidRPr="00AB5A27">
        <w:rPr>
          <w:i/>
          <w:iCs/>
          <w:lang w:val="sv-SE"/>
        </w:rPr>
        <w:t>Från stoff till studie: om analysarbete i kvalitativ forskning</w:t>
      </w:r>
      <w:r w:rsidRPr="00AB5A27">
        <w:rPr>
          <w:lang w:val="sv-SE"/>
        </w:rPr>
        <w:t xml:space="preserve">. </w:t>
      </w:r>
      <w:r w:rsidRPr="00075733">
        <w:t xml:space="preserve">(1. </w:t>
      </w:r>
      <w:proofErr w:type="spellStart"/>
      <w:r w:rsidRPr="00075733">
        <w:t>uppl</w:t>
      </w:r>
      <w:proofErr w:type="spellEnd"/>
      <w:r w:rsidRPr="00075733">
        <w:t xml:space="preserve">.) Lund: Studentlitteratur. </w:t>
      </w:r>
    </w:p>
    <w:p w14:paraId="0D54A2F6" w14:textId="77777777" w:rsidR="00AB5A27" w:rsidRPr="00A11588" w:rsidRDefault="00AB5A27" w:rsidP="00AB5A27"/>
    <w:p w14:paraId="02FC763C" w14:textId="77777777" w:rsidR="00AB5A27" w:rsidRPr="00ED3404" w:rsidRDefault="00AB5A27" w:rsidP="00AB5A27">
      <w:r w:rsidRPr="00F27877">
        <w:t>Salmons</w:t>
      </w:r>
      <w:r>
        <w:t>,</w:t>
      </w:r>
      <w:r w:rsidRPr="00F27877">
        <w:t xml:space="preserve"> J</w:t>
      </w:r>
      <w:r>
        <w:t>anet</w:t>
      </w:r>
      <w:r w:rsidRPr="00F27877">
        <w:t xml:space="preserve">. </w:t>
      </w:r>
      <w:r>
        <w:t xml:space="preserve">(2016). </w:t>
      </w:r>
      <w:r w:rsidRPr="0077409E">
        <w:rPr>
          <w:i/>
          <w:iCs/>
        </w:rPr>
        <w:t>Doing Qualitative Research Online</w:t>
      </w:r>
      <w:r w:rsidRPr="00F27877">
        <w:t xml:space="preserve">. </w:t>
      </w:r>
      <w:r w:rsidRPr="00ED3404">
        <w:t>SAGE</w:t>
      </w:r>
      <w:r>
        <w:t>.</w:t>
      </w:r>
    </w:p>
    <w:p w14:paraId="2A509E7C" w14:textId="77777777" w:rsidR="00AB5A27" w:rsidRPr="00ED3404" w:rsidRDefault="00AB5A27" w:rsidP="00AB5A27">
      <w:pPr>
        <w:rPr>
          <w:b/>
          <w:bCs/>
        </w:rPr>
      </w:pPr>
    </w:p>
    <w:p w14:paraId="71DCC7D9" w14:textId="77777777" w:rsidR="00AB5A27" w:rsidRPr="00AB5A27" w:rsidRDefault="00AB5A27" w:rsidP="00AB5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b/>
          <w:bCs/>
          <w:lang w:val="sv-SE"/>
        </w:rPr>
      </w:pPr>
      <w:proofErr w:type="spellStart"/>
      <w:r w:rsidRPr="00075733">
        <w:rPr>
          <w:lang w:val="sv-SE"/>
        </w:rPr>
        <w:t>Trost</w:t>
      </w:r>
      <w:proofErr w:type="spellEnd"/>
      <w:r w:rsidRPr="00075733">
        <w:rPr>
          <w:lang w:val="sv-SE"/>
        </w:rPr>
        <w:t xml:space="preserve">, Jan. &amp; Hultåker, Oscar. </w:t>
      </w:r>
      <w:r w:rsidRPr="00AB5A27">
        <w:rPr>
          <w:lang w:val="sv-SE"/>
        </w:rPr>
        <w:t xml:space="preserve">(2016). </w:t>
      </w:r>
      <w:r w:rsidRPr="00AB5A27">
        <w:rPr>
          <w:i/>
          <w:iCs/>
          <w:lang w:val="sv-SE"/>
        </w:rPr>
        <w:t>Enkätboken</w:t>
      </w:r>
      <w:r w:rsidRPr="00AB5A27">
        <w:rPr>
          <w:lang w:val="sv-SE"/>
        </w:rPr>
        <w:t xml:space="preserve">. (Femte upplagan). Lund: Studentlitteratur. </w:t>
      </w:r>
    </w:p>
    <w:p w14:paraId="3DEBC7A5" w14:textId="77777777" w:rsidR="00AB5A27" w:rsidRPr="00AB5A27" w:rsidRDefault="00AB5A27" w:rsidP="00AB5A27">
      <w:pPr>
        <w:rPr>
          <w:b/>
          <w:bCs/>
          <w:lang w:val="sv-SE"/>
        </w:rPr>
      </w:pPr>
    </w:p>
    <w:p w14:paraId="1956C981" w14:textId="77777777" w:rsidR="00AB5A27" w:rsidRPr="00466B99" w:rsidRDefault="00AB5A27" w:rsidP="00AB5A27">
      <w:proofErr w:type="spellStart"/>
      <w:r w:rsidRPr="00075733">
        <w:rPr>
          <w:lang w:val="sv-SE"/>
        </w:rPr>
        <w:t>Nicolini</w:t>
      </w:r>
      <w:proofErr w:type="spellEnd"/>
      <w:r w:rsidRPr="00075733">
        <w:rPr>
          <w:lang w:val="sv-SE"/>
        </w:rPr>
        <w:t xml:space="preserve">, Davide. </w:t>
      </w:r>
      <w:r w:rsidRPr="00466B99">
        <w:t>(2009). Zooming in and out: Studying practices by switching theoretical lenses and trailing connections. </w:t>
      </w:r>
      <w:r w:rsidRPr="0077409E">
        <w:rPr>
          <w:i/>
          <w:iCs/>
        </w:rPr>
        <w:t>Organization Studies</w:t>
      </w:r>
      <w:r w:rsidRPr="00466B99">
        <w:t>, 30(12), 1391-1418–1418. https://doi-org.ludwig.lub.lu.se/10.1177/0170840609349875</w:t>
      </w:r>
    </w:p>
    <w:p w14:paraId="66D419C2" w14:textId="77777777" w:rsidR="00AB5A27" w:rsidRPr="00AB1490" w:rsidRDefault="00AB5A27" w:rsidP="00AB1490">
      <w:pPr>
        <w:spacing w:line="240" w:lineRule="auto"/>
        <w:rPr>
          <w:rFonts w:ascii="Cambria" w:eastAsia="MS Mincho" w:hAnsi="Cambria"/>
          <w:sz w:val="24"/>
          <w:szCs w:val="24"/>
          <w:lang w:val="sv-SE"/>
        </w:rPr>
      </w:pPr>
    </w:p>
    <w:p w14:paraId="7C1E637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90462E" w:rsidRDefault="00836107" w:rsidP="000C5367">
      <w:pPr>
        <w:pStyle w:val="Brdtext"/>
        <w:rPr>
          <w:lang w:val="sv-SE"/>
        </w:rPr>
      </w:pPr>
      <w:r w:rsidRPr="00836107">
        <w:rPr>
          <w:highlight w:val="yellow"/>
          <w:lang w:val="sv-SE"/>
        </w:rPr>
        <w:t xml:space="preserve">Totalt antal sidor: </w:t>
      </w:r>
      <w:proofErr w:type="spellStart"/>
      <w:r w:rsidRPr="00836107">
        <w:rPr>
          <w:highlight w:val="yellow"/>
          <w:lang w:val="sv-SE"/>
        </w:rPr>
        <w:t>xxxx</w:t>
      </w:r>
      <w:proofErr w:type="spellEnd"/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16BA4" w14:textId="77777777" w:rsidR="005A5CC5" w:rsidRDefault="005A5CC5">
      <w:pPr>
        <w:spacing w:line="240" w:lineRule="auto"/>
      </w:pPr>
      <w:r>
        <w:separator/>
      </w:r>
    </w:p>
  </w:endnote>
  <w:endnote w:type="continuationSeparator" w:id="0">
    <w:p w14:paraId="19FDC118" w14:textId="77777777" w:rsidR="005A5CC5" w:rsidRDefault="005A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4DC4B" w14:textId="77777777" w:rsidR="005A5CC5" w:rsidRDefault="005A5CC5">
      <w:pPr>
        <w:spacing w:line="240" w:lineRule="auto"/>
      </w:pPr>
      <w:r>
        <w:separator/>
      </w:r>
    </w:p>
  </w:footnote>
  <w:footnote w:type="continuationSeparator" w:id="0">
    <w:p w14:paraId="2B7FD447" w14:textId="77777777" w:rsidR="005A5CC5" w:rsidRDefault="005A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566212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77777777" w:rsidR="00C12C99" w:rsidRPr="003C407E" w:rsidRDefault="00566212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4457">
    <w:abstractNumId w:val="4"/>
  </w:num>
  <w:num w:numId="2" w16cid:durableId="1375619111">
    <w:abstractNumId w:val="5"/>
  </w:num>
  <w:num w:numId="3" w16cid:durableId="1156412410">
    <w:abstractNumId w:val="6"/>
  </w:num>
  <w:num w:numId="4" w16cid:durableId="356781027">
    <w:abstractNumId w:val="7"/>
  </w:num>
  <w:num w:numId="5" w16cid:durableId="1430270330">
    <w:abstractNumId w:val="9"/>
  </w:num>
  <w:num w:numId="6" w16cid:durableId="304049426">
    <w:abstractNumId w:val="0"/>
  </w:num>
  <w:num w:numId="7" w16cid:durableId="664210394">
    <w:abstractNumId w:val="1"/>
  </w:num>
  <w:num w:numId="8" w16cid:durableId="528689565">
    <w:abstractNumId w:val="2"/>
  </w:num>
  <w:num w:numId="9" w16cid:durableId="576936084">
    <w:abstractNumId w:val="3"/>
  </w:num>
  <w:num w:numId="10" w16cid:durableId="1564441886">
    <w:abstractNumId w:val="8"/>
  </w:num>
  <w:num w:numId="11" w16cid:durableId="1582056852">
    <w:abstractNumId w:val="11"/>
  </w:num>
  <w:num w:numId="12" w16cid:durableId="168336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15A7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D49D2"/>
    <w:rsid w:val="002F4BE0"/>
    <w:rsid w:val="002F6FA2"/>
    <w:rsid w:val="003858F7"/>
    <w:rsid w:val="003B2B3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12F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66212"/>
    <w:rsid w:val="00570E37"/>
    <w:rsid w:val="005A5CC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C76E9"/>
    <w:rsid w:val="008002D2"/>
    <w:rsid w:val="0080655D"/>
    <w:rsid w:val="00834203"/>
    <w:rsid w:val="00836107"/>
    <w:rsid w:val="00843E27"/>
    <w:rsid w:val="00852F0F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B1490"/>
    <w:rsid w:val="00AB5A27"/>
    <w:rsid w:val="00B25EB6"/>
    <w:rsid w:val="00B42469"/>
    <w:rsid w:val="00BA15B7"/>
    <w:rsid w:val="00BA167B"/>
    <w:rsid w:val="00BC1064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17ADE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4135/9781473957992.n2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Cecilia Andersson</cp:lastModifiedBy>
  <cp:revision>2</cp:revision>
  <cp:lastPrinted>2017-12-15T10:09:00Z</cp:lastPrinted>
  <dcterms:created xsi:type="dcterms:W3CDTF">2024-06-07T07:58:00Z</dcterms:created>
  <dcterms:modified xsi:type="dcterms:W3CDTF">2024-06-07T07:58:00Z</dcterms:modified>
  <cp:category/>
</cp:coreProperties>
</file>